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E0F" w:rsidRPr="00ED2732" w:rsidRDefault="00AC493F" w:rsidP="00AC493F">
      <w:r>
        <w:t>Sklop 2</w:t>
      </w:r>
      <w:bookmarkStart w:id="0" w:name="_GoBack"/>
      <w:bookmarkEnd w:id="0"/>
    </w:p>
    <w:tbl>
      <w:tblPr>
        <w:tblStyle w:val="Tabelamrea3"/>
        <w:tblW w:w="10632" w:type="dxa"/>
        <w:tblInd w:w="-572" w:type="dxa"/>
        <w:tblLook w:val="04A0" w:firstRow="1" w:lastRow="0" w:firstColumn="1" w:lastColumn="0" w:noHBand="0" w:noVBand="1"/>
      </w:tblPr>
      <w:tblGrid>
        <w:gridCol w:w="6477"/>
        <w:gridCol w:w="1644"/>
        <w:gridCol w:w="2511"/>
      </w:tblGrid>
      <w:tr w:rsidR="006B7E0F" w:rsidRPr="00ED2732" w:rsidTr="00705154">
        <w:trPr>
          <w:trHeight w:val="990"/>
        </w:trPr>
        <w:tc>
          <w:tcPr>
            <w:tcW w:w="6477" w:type="dxa"/>
          </w:tcPr>
          <w:p w:rsidR="006B7E0F" w:rsidRPr="0008747B" w:rsidRDefault="006B7E0F" w:rsidP="00705154">
            <w:pPr>
              <w:ind w:right="849"/>
              <w:rPr>
                <w:b/>
                <w:bCs/>
              </w:rPr>
            </w:pPr>
            <w:r w:rsidRPr="0008747B">
              <w:rPr>
                <w:b/>
                <w:bCs/>
              </w:rPr>
              <w:t>Merilo</w:t>
            </w:r>
          </w:p>
        </w:tc>
        <w:tc>
          <w:tcPr>
            <w:tcW w:w="1644" w:type="dxa"/>
          </w:tcPr>
          <w:p w:rsidR="006B7E0F" w:rsidRPr="0008747B" w:rsidRDefault="006B7E0F" w:rsidP="00705154">
            <w:pPr>
              <w:ind w:right="849"/>
              <w:rPr>
                <w:b/>
                <w:bCs/>
              </w:rPr>
            </w:pPr>
            <w:r w:rsidRPr="0008747B">
              <w:rPr>
                <w:b/>
                <w:bCs/>
              </w:rPr>
              <w:t>Točke</w:t>
            </w:r>
          </w:p>
        </w:tc>
        <w:tc>
          <w:tcPr>
            <w:tcW w:w="2511" w:type="dxa"/>
          </w:tcPr>
          <w:p w:rsidR="006B7E0F" w:rsidRPr="0008747B" w:rsidRDefault="006B7E0F" w:rsidP="00705154">
            <w:pPr>
              <w:ind w:right="849"/>
              <w:rPr>
                <w:bCs/>
              </w:rPr>
            </w:pPr>
            <w:r w:rsidRPr="0008747B">
              <w:rPr>
                <w:bCs/>
              </w:rPr>
              <w:t>DA/NE ter stran v katalogu iz katere je razvidno izpolnjevanje zahteve</w:t>
            </w: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rPr>
                <w:bCs/>
              </w:rPr>
              <w:t>Dodajanje diagnostičnih materialov (reagenti, sistemske tekočine, kontrolni in kalibracijski material) na biokemične in imunokemične analizatorje brez zaustavljanja sistema.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  <w:rPr>
                <w:bCs/>
              </w:rPr>
            </w:pPr>
            <w:r w:rsidRPr="00ED2732">
              <w:rPr>
                <w:bCs/>
              </w:rPr>
              <w:t>2x2</w:t>
            </w:r>
          </w:p>
          <w:p w:rsidR="006B7E0F" w:rsidRPr="00ED2732" w:rsidRDefault="006B7E0F" w:rsidP="00705154">
            <w:pPr>
              <w:ind w:right="849"/>
              <w:rPr>
                <w:bCs/>
              </w:rPr>
            </w:pPr>
            <w:r w:rsidRPr="00ED2732">
              <w:rPr>
                <w:bCs/>
              </w:rPr>
              <w:t>Max 4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  <w:rPr>
                <w:bCs/>
              </w:rPr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  <w:rPr>
                <w:bCs/>
              </w:rPr>
            </w:pPr>
            <w:r w:rsidRPr="00ED2732">
              <w:t xml:space="preserve">Metode za določanje feritina, mioglobina, prokalcitonina, digoksina, teofilina, vankomicina in gentamicina na imunokemičnem analizatorju na ALS. 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</w:pPr>
            <w:r w:rsidRPr="00ED2732">
              <w:t>7x1</w:t>
            </w:r>
          </w:p>
          <w:p w:rsidR="006B7E0F" w:rsidRPr="00ED2732" w:rsidRDefault="006B7E0F" w:rsidP="00705154">
            <w:pPr>
              <w:ind w:right="849"/>
            </w:pPr>
            <w:r w:rsidRPr="00ED2732">
              <w:t>max 7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t>Možnost preverjanja spremenjenosti vzorca t.i. validity</w:t>
            </w:r>
            <w:r w:rsidR="001D0064">
              <w:t xml:space="preserve"> </w:t>
            </w:r>
            <w:r w:rsidRPr="00ED2732">
              <w:t>testing (npr. redčenje urinskega vzorca z vodo) na analizatorju za določanje toksikoloških testov.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</w:pPr>
            <w:r w:rsidRPr="00ED2732">
              <w:t>1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t>Možnost določanja NT-proBNP na ALS.</w:t>
            </w:r>
          </w:p>
        </w:tc>
        <w:tc>
          <w:tcPr>
            <w:tcW w:w="1644" w:type="dxa"/>
          </w:tcPr>
          <w:p w:rsidR="006B7E0F" w:rsidRPr="00CE1F98" w:rsidRDefault="00877D7B" w:rsidP="00705154">
            <w:pPr>
              <w:ind w:right="849"/>
              <w:rPr>
                <w:color w:val="FF0000"/>
              </w:rPr>
            </w:pPr>
            <w:r w:rsidRPr="00CE1F98">
              <w:rPr>
                <w:color w:val="FF0000"/>
              </w:rPr>
              <w:t>1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CE1F98" w:rsidRDefault="003825C2" w:rsidP="003825C2">
            <w:pPr>
              <w:ind w:right="849"/>
              <w:rPr>
                <w:color w:val="FF0000"/>
              </w:rPr>
            </w:pPr>
            <w:r w:rsidRPr="00CE1F98">
              <w:rPr>
                <w:color w:val="FF0000"/>
              </w:rPr>
              <w:t>Ponudba, ki vključuje največ n</w:t>
            </w:r>
            <w:r w:rsidR="006B7E0F" w:rsidRPr="00CE1F98">
              <w:rPr>
                <w:color w:val="FF0000"/>
              </w:rPr>
              <w:t>a biotin neobčutljiv</w:t>
            </w:r>
            <w:r w:rsidRPr="00CE1F98">
              <w:rPr>
                <w:color w:val="FF0000"/>
              </w:rPr>
              <w:t>ih</w:t>
            </w:r>
            <w:r w:rsidR="006B7E0F" w:rsidRPr="00CE1F98">
              <w:rPr>
                <w:color w:val="FF0000"/>
              </w:rPr>
              <w:t xml:space="preserve"> </w:t>
            </w:r>
            <w:r w:rsidRPr="00CE1F98">
              <w:rPr>
                <w:color w:val="FF0000"/>
              </w:rPr>
              <w:t>i</w:t>
            </w:r>
            <w:r w:rsidR="006B7E0F" w:rsidRPr="00CE1F98">
              <w:rPr>
                <w:color w:val="FF0000"/>
              </w:rPr>
              <w:t>munokemičnih testov.</w:t>
            </w:r>
          </w:p>
        </w:tc>
        <w:tc>
          <w:tcPr>
            <w:tcW w:w="1644" w:type="dxa"/>
          </w:tcPr>
          <w:p w:rsidR="006B7E0F" w:rsidRPr="00CE1F98" w:rsidRDefault="00B9404A" w:rsidP="00705154">
            <w:pPr>
              <w:ind w:right="849"/>
              <w:rPr>
                <w:color w:val="FF0000"/>
              </w:rPr>
            </w:pPr>
            <w:r w:rsidRPr="00CE1F98">
              <w:rPr>
                <w:color w:val="FF0000"/>
              </w:rPr>
              <w:t>1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t>Sistem za oddaljen nadzor delovanja analizatorjev, ki tehnični podpori omogoča obveščanje naročnika in posredovanje pred dejansko okvaro na aparatu.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</w:pPr>
            <w:r w:rsidRPr="00ED2732">
              <w:t>2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t>Biokemični in imunokemični sistemi imajo nameščeno enako programsko opremo za upravljanje z analizatorjem.</w:t>
            </w:r>
          </w:p>
        </w:tc>
        <w:tc>
          <w:tcPr>
            <w:tcW w:w="1644" w:type="dxa"/>
          </w:tcPr>
          <w:p w:rsidR="006B7E0F" w:rsidRPr="00CE1F98" w:rsidRDefault="005A3E7A" w:rsidP="00705154">
            <w:pPr>
              <w:ind w:right="849"/>
              <w:rPr>
                <w:color w:val="FF0000"/>
              </w:rPr>
            </w:pPr>
            <w:r w:rsidRPr="00CE1F98">
              <w:rPr>
                <w:color w:val="FF0000"/>
              </w:rPr>
              <w:t>1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5A3E7A" w:rsidRPr="00ED2732" w:rsidTr="00705154">
        <w:tc>
          <w:tcPr>
            <w:tcW w:w="6477" w:type="dxa"/>
          </w:tcPr>
          <w:p w:rsidR="005A3E7A" w:rsidRPr="00CE1F98" w:rsidRDefault="005A3E7A" w:rsidP="005A3E7A">
            <w:pPr>
              <w:ind w:right="849"/>
              <w:rPr>
                <w:color w:val="FF0000"/>
              </w:rPr>
            </w:pPr>
            <w:r w:rsidRPr="00CE1F98">
              <w:rPr>
                <w:color w:val="FF0000"/>
              </w:rPr>
              <w:t>Možnost nadgradnje ponujenega ALS z dodatno centrifugo v obstoječem prostoru v primeru potreb po večjih kapacitetah.</w:t>
            </w:r>
          </w:p>
        </w:tc>
        <w:tc>
          <w:tcPr>
            <w:tcW w:w="1644" w:type="dxa"/>
          </w:tcPr>
          <w:p w:rsidR="005A3E7A" w:rsidRPr="00CE1F98" w:rsidRDefault="00B9404A" w:rsidP="00705154">
            <w:pPr>
              <w:ind w:right="849"/>
              <w:rPr>
                <w:color w:val="FF0000"/>
              </w:rPr>
            </w:pPr>
            <w:r w:rsidRPr="00CE1F98">
              <w:rPr>
                <w:color w:val="FF0000"/>
              </w:rPr>
              <w:t>2</w:t>
            </w:r>
          </w:p>
        </w:tc>
        <w:tc>
          <w:tcPr>
            <w:tcW w:w="2511" w:type="dxa"/>
          </w:tcPr>
          <w:p w:rsidR="005A3E7A" w:rsidRPr="00ED2732" w:rsidRDefault="005A3E7A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t>Vsi reagenti, sistemske tekočine, kalibracijski in kontrolni material za biokemične in imunokemične analizatorje so pripravljeni za uporabo.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</w:pPr>
            <w:r w:rsidRPr="00ED2732">
              <w:t>2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t>Možnost oddaljenega nadzora in upravljanja z analizatorji na ALS za uporabnika.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</w:pPr>
            <w:r w:rsidRPr="00ED2732">
              <w:t>2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6B6AA8" w:rsidRDefault="006B7E0F" w:rsidP="005A3E7A">
            <w:pPr>
              <w:ind w:right="849"/>
              <w:rPr>
                <w:color w:val="FF0000"/>
              </w:rPr>
            </w:pPr>
            <w:r w:rsidRPr="006B6AA8">
              <w:rPr>
                <w:color w:val="FF0000"/>
              </w:rPr>
              <w:t xml:space="preserve">Sistem za upravljanje z reagenti z uporabo RFID tehnologije z možnostjo priprave RFID oznak tudi za </w:t>
            </w:r>
            <w:r w:rsidR="005A3E7A" w:rsidRPr="006B6AA8">
              <w:rPr>
                <w:color w:val="FF0000"/>
              </w:rPr>
              <w:t>druge dobavitelje</w:t>
            </w:r>
            <w:r w:rsidRPr="006B6AA8">
              <w:rPr>
                <w:color w:val="FF0000"/>
              </w:rPr>
              <w:t>.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</w:pPr>
            <w:r w:rsidRPr="00ED2732">
              <w:t>2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6B7E0F" w:rsidRPr="00ED2732" w:rsidTr="00705154">
        <w:tc>
          <w:tcPr>
            <w:tcW w:w="6477" w:type="dxa"/>
          </w:tcPr>
          <w:p w:rsidR="006B7E0F" w:rsidRPr="00ED2732" w:rsidRDefault="006B7E0F" w:rsidP="00705154">
            <w:pPr>
              <w:ind w:right="849"/>
            </w:pPr>
            <w:r w:rsidRPr="00ED2732">
              <w:t>Avtomatizirano dnevno vzdrževanje biokemičnih in imunokemičnih analizatorjev brez posegov uporabnika.</w:t>
            </w:r>
          </w:p>
        </w:tc>
        <w:tc>
          <w:tcPr>
            <w:tcW w:w="1644" w:type="dxa"/>
          </w:tcPr>
          <w:p w:rsidR="006B7E0F" w:rsidRPr="00ED2732" w:rsidRDefault="006B7E0F" w:rsidP="00705154">
            <w:pPr>
              <w:ind w:right="849"/>
            </w:pPr>
            <w:r w:rsidRPr="00ED2732">
              <w:t>2x2</w:t>
            </w:r>
          </w:p>
          <w:p w:rsidR="006B7E0F" w:rsidRPr="00ED2732" w:rsidRDefault="006B7E0F" w:rsidP="00705154">
            <w:pPr>
              <w:ind w:right="849"/>
            </w:pPr>
            <w:r w:rsidRPr="00ED2732">
              <w:t>max 4</w:t>
            </w:r>
          </w:p>
        </w:tc>
        <w:tc>
          <w:tcPr>
            <w:tcW w:w="2511" w:type="dxa"/>
          </w:tcPr>
          <w:p w:rsidR="006B7E0F" w:rsidRPr="00ED2732" w:rsidRDefault="006B7E0F" w:rsidP="00705154">
            <w:pPr>
              <w:ind w:right="849"/>
            </w:pPr>
          </w:p>
        </w:tc>
      </w:tr>
      <w:tr w:rsidR="00877D7B" w:rsidRPr="00ED2732" w:rsidTr="00705154">
        <w:tc>
          <w:tcPr>
            <w:tcW w:w="6477" w:type="dxa"/>
          </w:tcPr>
          <w:p w:rsidR="00877D7B" w:rsidRPr="006B6AA8" w:rsidRDefault="00877D7B" w:rsidP="00705154">
            <w:pPr>
              <w:ind w:right="849"/>
              <w:rPr>
                <w:color w:val="FF0000"/>
              </w:rPr>
            </w:pPr>
            <w:r w:rsidRPr="006B6AA8">
              <w:rPr>
                <w:color w:val="FF0000"/>
              </w:rPr>
              <w:t>ALS vključuje programsko opremo za avtovalidacijo, ki je validirana v skladu s standardom ISO 15189</w:t>
            </w:r>
          </w:p>
        </w:tc>
        <w:tc>
          <w:tcPr>
            <w:tcW w:w="1644" w:type="dxa"/>
          </w:tcPr>
          <w:p w:rsidR="00877D7B" w:rsidRPr="006B6AA8" w:rsidRDefault="00877D7B" w:rsidP="00705154">
            <w:pPr>
              <w:ind w:right="849"/>
              <w:rPr>
                <w:color w:val="FF0000"/>
              </w:rPr>
            </w:pPr>
            <w:r w:rsidRPr="006B6AA8">
              <w:rPr>
                <w:color w:val="FF0000"/>
              </w:rPr>
              <w:t>1</w:t>
            </w:r>
          </w:p>
        </w:tc>
        <w:tc>
          <w:tcPr>
            <w:tcW w:w="2511" w:type="dxa"/>
          </w:tcPr>
          <w:p w:rsidR="00877D7B" w:rsidRPr="00ED2732" w:rsidRDefault="00877D7B" w:rsidP="00705154">
            <w:pPr>
              <w:ind w:right="849"/>
            </w:pPr>
          </w:p>
        </w:tc>
      </w:tr>
      <w:tr w:rsidR="005A3E7A" w:rsidRPr="00ED2732" w:rsidTr="00705154">
        <w:tc>
          <w:tcPr>
            <w:tcW w:w="6477" w:type="dxa"/>
          </w:tcPr>
          <w:p w:rsidR="005A3E7A" w:rsidRPr="00ED2732" w:rsidRDefault="005A3E7A" w:rsidP="00705154">
            <w:pPr>
              <w:ind w:right="849"/>
            </w:pPr>
          </w:p>
        </w:tc>
        <w:tc>
          <w:tcPr>
            <w:tcW w:w="1644" w:type="dxa"/>
          </w:tcPr>
          <w:p w:rsidR="005A3E7A" w:rsidRPr="00ED2732" w:rsidRDefault="005A3E7A" w:rsidP="00705154">
            <w:pPr>
              <w:ind w:right="849"/>
            </w:pPr>
          </w:p>
        </w:tc>
        <w:tc>
          <w:tcPr>
            <w:tcW w:w="2511" w:type="dxa"/>
          </w:tcPr>
          <w:p w:rsidR="005A3E7A" w:rsidRPr="00ED2732" w:rsidRDefault="005A3E7A" w:rsidP="00705154">
            <w:pPr>
              <w:ind w:right="849"/>
            </w:pPr>
          </w:p>
        </w:tc>
      </w:tr>
    </w:tbl>
    <w:p w:rsidR="006B7E0F" w:rsidRDefault="006B7E0F" w:rsidP="006B7E0F">
      <w:pPr>
        <w:spacing w:after="200" w:line="276" w:lineRule="auto"/>
        <w:rPr>
          <w:b/>
        </w:rPr>
      </w:pPr>
    </w:p>
    <w:p w:rsidR="006B7E0F" w:rsidRDefault="006B7E0F"/>
    <w:sectPr w:rsidR="006B7E0F" w:rsidSect="00144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A85" w:rsidRDefault="00CD2A85" w:rsidP="00AC493F">
      <w:pPr>
        <w:spacing w:line="240" w:lineRule="auto"/>
      </w:pPr>
      <w:r>
        <w:separator/>
      </w:r>
    </w:p>
  </w:endnote>
  <w:endnote w:type="continuationSeparator" w:id="0">
    <w:p w:rsidR="00CD2A85" w:rsidRDefault="00CD2A85" w:rsidP="00AC49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A85" w:rsidRDefault="00CD2A85" w:rsidP="00AC493F">
      <w:pPr>
        <w:spacing w:line="240" w:lineRule="auto"/>
      </w:pPr>
      <w:r>
        <w:separator/>
      </w:r>
    </w:p>
  </w:footnote>
  <w:footnote w:type="continuationSeparator" w:id="0">
    <w:p w:rsidR="00CD2A85" w:rsidRDefault="00CD2A85" w:rsidP="00AC49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0F"/>
    <w:rsid w:val="00044518"/>
    <w:rsid w:val="001441AD"/>
    <w:rsid w:val="001D0064"/>
    <w:rsid w:val="003825C2"/>
    <w:rsid w:val="003E3CBC"/>
    <w:rsid w:val="005A3E7A"/>
    <w:rsid w:val="006B6AA8"/>
    <w:rsid w:val="006B7E0F"/>
    <w:rsid w:val="00877D7B"/>
    <w:rsid w:val="008F2747"/>
    <w:rsid w:val="00930C97"/>
    <w:rsid w:val="0095154C"/>
    <w:rsid w:val="00AC493F"/>
    <w:rsid w:val="00B9404A"/>
    <w:rsid w:val="00BA4D25"/>
    <w:rsid w:val="00C13650"/>
    <w:rsid w:val="00C87534"/>
    <w:rsid w:val="00CD2A85"/>
    <w:rsid w:val="00CE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6F51F-5775-42C4-8D1B-AE9497B9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1A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3">
    <w:name w:val="Tabela – mreža3"/>
    <w:basedOn w:val="Navadnatabela"/>
    <w:uiPriority w:val="59"/>
    <w:rsid w:val="006B7E0F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6B7E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9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9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C493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493F"/>
  </w:style>
  <w:style w:type="paragraph" w:styleId="Noga">
    <w:name w:val="footer"/>
    <w:basedOn w:val="Navaden"/>
    <w:link w:val="NogaZnak"/>
    <w:uiPriority w:val="99"/>
    <w:unhideWhenUsed/>
    <w:rsid w:val="00AC493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C4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 Božič</dc:creator>
  <cp:lastModifiedBy>Ela Senica</cp:lastModifiedBy>
  <cp:revision>2</cp:revision>
  <cp:lastPrinted>2018-10-02T12:50:00Z</cp:lastPrinted>
  <dcterms:created xsi:type="dcterms:W3CDTF">2018-10-02T13:15:00Z</dcterms:created>
  <dcterms:modified xsi:type="dcterms:W3CDTF">2018-10-02T13:15:00Z</dcterms:modified>
</cp:coreProperties>
</file>